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0"/>
        <w:gridCol w:w="5080"/>
        <w:gridCol w:w="4420"/>
        <w:gridCol w:w="1900"/>
        <w:gridCol w:w="1200"/>
        <w:gridCol w:w="1400"/>
        <w:gridCol w:w="5420"/>
        <w:gridCol w:w="5100"/>
        <w:gridCol w:w="960"/>
        <w:gridCol w:w="960"/>
        <w:gridCol w:w="960"/>
        <w:gridCol w:w="960"/>
      </w:tblGrid>
      <w:tr w:rsidR="00C7758C" w:rsidRPr="00C7758C" w14:paraId="1877E54F" w14:textId="77777777" w:rsidTr="00C7758C">
        <w:trPr>
          <w:trHeight w:val="74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17BF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3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14:paraId="767DDC9D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t-EE"/>
              </w:rPr>
              <w:t>Huvihariduse ja huvitegevuse KAVA 2023-2024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7842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t-E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5450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8730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F54F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AC5F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75BB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49C5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7758C" w:rsidRPr="00C7758C" w14:paraId="0B2EDE31" w14:textId="77777777" w:rsidTr="00C775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B9E7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A138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Noorte arv vanus 7-19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1B411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B809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EC2A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D841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1D04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EF68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3129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DD90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7758C" w:rsidRPr="00C7758C" w14:paraId="567B2C35" w14:textId="77777777" w:rsidTr="00C775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C177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A687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Kava periood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18102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01.01.2023-31.12.2024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D5DC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323D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156A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79BF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5FFD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5151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5330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7758C" w:rsidRPr="00C7758C" w14:paraId="4798C280" w14:textId="77777777" w:rsidTr="00C7758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C9F1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F07A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Huvihariduse ja huvitegevuse toetuse prognoositav summa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C4E8F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159 274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C6C6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7977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9468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533E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35EF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E571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1529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7758C" w:rsidRPr="00C7758C" w14:paraId="37FACDC0" w14:textId="77777777" w:rsidTr="00C775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8509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37E909E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Jrk</w:t>
            </w:r>
            <w:r w:rsidRPr="00C775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br/>
              <w:t>nr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97F023F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Kitsaskoht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88606AC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 xml:space="preserve">Tegevus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8BAE1E1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Eelarve sisu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4785612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Eelarve (€)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C881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E026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B8C5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226F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9DAA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7C71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DFC2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7758C" w:rsidRPr="00C7758C" w14:paraId="13F3FD25" w14:textId="77777777" w:rsidTr="00C7758C">
        <w:trPr>
          <w:trHeight w:val="9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020A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BEF175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41D558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Mulgi valla noortel ei ole võimalust huvihariduses ja huvitegevuses valida kõikide valdkondade vahel kõikides valla piirkondades (loodus-täppisteaduste ja tehnoloogia ehk LTT, kultuur, sport)   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A26184" w14:textId="09308DD3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Mulgi Vallavolikogu määrus 15.04.2021 "Mulgi valla huvihariduse ja huvitegevuse toetuse kord" nr 145 § 6.   </w:t>
            </w: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br/>
              <w:t>Tagata toimivate ringide jätkusuutlikus ning toetada uusi ringe.                                                                     Pakkuda noortele erinevaid võimalusi vaba aja veetmiseks pakkudes noortele arendavaid tegevusi: ringide tegevuste tulemustel paranevad noorte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teadmised</w:t>
            </w: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LTT valdkonnas, sh </w:t>
            </w: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programmeerimise- ja tehnoloogialased teadmised ning oskused; kavandatud tegevused annavad osalejatele eluks vajalikke oskusi, teadmisi tööjõuturul konkureerimisel ning arendab noorte ettevõtlikust; kavandatav tegevus toetab ja mõjutab tervislike eluviiside kujunemist ja noorte arengut.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E8E7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Tööjõukulu, transport, vahendid, muu kulu (taotlusvoorud: I voor 49000€  ja II voor 49000€)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F1F7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98000,00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3094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158D0" w14:textId="77777777" w:rsidR="00C7758C" w:rsidRPr="00C7758C" w:rsidRDefault="00C7758C" w:rsidP="00C775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t-EE"/>
              </w:rPr>
            </w:pPr>
            <w:r w:rsidRPr="00C7758C">
              <w:rPr>
                <w:rFonts w:ascii="Arial Narrow" w:eastAsia="Times New Roman" w:hAnsi="Arial Narrow" w:cs="Calibri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8F322" w14:textId="77777777" w:rsidR="00C7758C" w:rsidRPr="00C7758C" w:rsidRDefault="00C7758C" w:rsidP="00C775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5BCE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E2CC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9AC7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A913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7758C" w:rsidRPr="00C7758C" w14:paraId="43380001" w14:textId="77777777" w:rsidTr="00C7758C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339C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F9FDE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44EA54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Formaalõppe vähene sidusus mitteformaalõppega    </w:t>
            </w: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E7AD3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AB01F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342F9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F64B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58B0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46AC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10DF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136D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2353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021D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7758C" w:rsidRPr="00C7758C" w14:paraId="72C14DF9" w14:textId="77777777" w:rsidTr="00C7758C">
        <w:trPr>
          <w:trHeight w:val="79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0EAA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06399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29EE9B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Huvihariduse ja huvitegevuse vahendid vajavad uuendamist ja mitmekesistamist  </w:t>
            </w: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353E7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6831C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099DE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CB8B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4A92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89EC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F622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3033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D0B2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1109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7758C" w:rsidRPr="00C7758C" w14:paraId="4521A1C0" w14:textId="77777777" w:rsidTr="00C7758C">
        <w:trPr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4323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19552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FA2B28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Noorte vähene teadlikus digivahendite kasutamisest ja sellega seotud ohtudest        </w:t>
            </w: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65222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9A976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6D5CD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13AF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DDDD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5775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D3C2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926B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DDA6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0DC9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7758C" w:rsidRPr="00C7758C" w14:paraId="385C9E50" w14:textId="77777777" w:rsidTr="00C7758C">
        <w:trPr>
          <w:trHeight w:val="79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1266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9B01D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06394E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Vähesed huvitegevuse võimalused HEV ja mitteaktiivsetele, riskikäitumisega noortele           </w:t>
            </w: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126F9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0FCCC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EC586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6DFD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4140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12E2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51C1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10F0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8706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E818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7758C" w:rsidRPr="00C7758C" w14:paraId="39CAB038" w14:textId="77777777" w:rsidTr="00C775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2260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5DA960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377BF2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Noortega töötavate spetsialistide teadmised noorte kaasamiseks tegevustesse on vähesed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9AFC55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Koolitused, töötoad.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CF27D1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Koolitus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3735B9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C7E9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5F6FB" w14:textId="77777777" w:rsidR="00C7758C" w:rsidRPr="00C7758C" w:rsidRDefault="00C7758C" w:rsidP="00C775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t-EE"/>
              </w:rPr>
            </w:pPr>
            <w:r w:rsidRPr="00C7758C">
              <w:rPr>
                <w:rFonts w:ascii="Arial Narrow" w:eastAsia="Times New Roman" w:hAnsi="Arial Narrow" w:cs="Calibri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E402" w14:textId="77777777" w:rsidR="00C7758C" w:rsidRPr="00C7758C" w:rsidRDefault="00C7758C" w:rsidP="00C7758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FF0F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D697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2729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3499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7758C" w:rsidRPr="00C7758C" w14:paraId="43CF2F78" w14:textId="77777777" w:rsidTr="00C7758C">
        <w:trPr>
          <w:trHeight w:val="12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17A1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B259AC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2701AF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Mulgi valla koolides õppivatel noortel ei ole võimalik osaleda Mulgi valla huvikooli tegevustes kuna bussid väljuvad liiga hilja või liiga vara. Maapiirkonna </w:t>
            </w:r>
            <w:proofErr w:type="spellStart"/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hajaasustusest</w:t>
            </w:r>
            <w:proofErr w:type="spellEnd"/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tingituna jääb mõnele perele huvihariduse ja huvitegevuse kättesaadavus transpordi taha.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788D7C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Bussitranspordi võimaldamine.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D8B214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Transport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346F8C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363C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769D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1E35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A170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F26C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DD92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0DB1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7758C" w:rsidRPr="00C7758C" w14:paraId="6F439B17" w14:textId="77777777" w:rsidTr="00C7758C">
        <w:trPr>
          <w:trHeight w:val="7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E535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D2218E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5E35CE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Paljudel peredel puuduvad rahalised vahendid katmaks oma noorte transportimist huviharidusse, huviringidesse, võistlustele. 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42E4EC" w14:textId="0FA17639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Mulgi Vallavolikogu määrus 15.04.2021 "Mulgi valla huvihariduse ja huvitegevuse toetuse kord" nr 145 § 4, § 5, § 7, § 8.                                                           Toetatakse huvihariduses ja huvitegevuses osalemisega seotud transpordikulusid. Toetatakse sotsiaal ja/või -majanduslikes raskustes perede laste huvihariduses ja huvitegevuses osalemist, sh kohamaksu tasumine huvikoolides kõikidele valla noortele. Toetatakse huvihariduses ja huvitegevuses noore osalemist takistavate ja ettenägematute kitsaskohtade katmist</w:t>
            </w:r>
            <w:r w:rsidR="004A2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, sh võistlustel ja laagrites osalemi</w:t>
            </w:r>
            <w:r w:rsidR="002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ne </w:t>
            </w:r>
            <w:r w:rsidR="004A2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ning isiklike vahendite kompenseerimi</w:t>
            </w:r>
            <w:r w:rsidR="00262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ne</w:t>
            </w:r>
            <w:r w:rsidRPr="00C77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. Toetuse tulemusel saavad vähemate võimalustega perede noored osaleda huvihariduses ja huvitegevuses ning igakülgselt areneda.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54F758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Taotluse alusel (Transport)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A1BAFF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7BD1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B6BA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C114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0F5B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EFE6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1C3A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B675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7758C" w:rsidRPr="00C7758C" w14:paraId="60DA7B99" w14:textId="77777777" w:rsidTr="00C7758C">
        <w:trPr>
          <w:trHeight w:val="9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B379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EF502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BA3594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Sotsiaal ja/või -majanduslikes ja toimetulekuraskustes perede lastel on väiksemad võimalused osaleda huvihariduse ja huvitegevuses, sh erialade vähesus valla huvikoolides.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63F2A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D20446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Taotluse alusel (koha-ja osalusmaks)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FADF59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30000,00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4528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D19F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7C2E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CC1F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B22D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5E5B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CC7B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7758C" w:rsidRPr="00C7758C" w14:paraId="4F3A5E23" w14:textId="77777777" w:rsidTr="00C7758C">
        <w:trPr>
          <w:trHeight w:val="16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9285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5CE68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3C60AB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Noortel puuduvad vahendid ja varustus huvihariduses ja huvitegevuses osalemiseks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567BF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79EC51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Taotluse alusel (vahendid)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6BC8DA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7000,00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1C7A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4087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241A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E7F7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C57F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8004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DBFE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7758C" w:rsidRPr="00C7758C" w14:paraId="6D8B92D4" w14:textId="77777777" w:rsidTr="00C7758C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4DC5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C63079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3E4463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Noortel puudub ülevaade pakutavate võimaluste kohta Mulgi valla noorsootöö asutustes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D246CE" w14:textId="3C2B7D2A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Toetatakse infokanalite arendamist ja jätkamist.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F3398E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Muu kulu (registri ja kodulehe arendused)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F3EBEE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3274,00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E04D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D7D2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51B4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4BFE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4BCE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F37A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80C4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7758C" w:rsidRPr="00C7758C" w14:paraId="5EE25443" w14:textId="77777777" w:rsidTr="00C7758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AEA1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185A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0193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25D0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8C5B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1B45933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C77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159274,00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C0B5" w14:textId="77777777" w:rsidR="00C7758C" w:rsidRPr="00C7758C" w:rsidRDefault="00C7758C" w:rsidP="00C7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CF05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E8E8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C9F2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3590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9753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25F7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7758C" w:rsidRPr="00C7758C" w14:paraId="2AF610CA" w14:textId="77777777" w:rsidTr="00C7758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7EE2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7733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A3DD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21EF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C70F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603F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0389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96E1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162C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670F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7275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BB55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9B00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7758C" w:rsidRPr="00C7758C" w14:paraId="07C90088" w14:textId="77777777" w:rsidTr="00C7758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DB4B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91C8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6EB7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19C8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C314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C3AA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0BBB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B689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890D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850C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0895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1346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216C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C7758C" w:rsidRPr="00C7758C" w14:paraId="5B6B438F" w14:textId="77777777" w:rsidTr="00C775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2225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BCE2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02F7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A7E8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3198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648A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F78B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819C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3004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C3F8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FBF9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7B78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4F63" w14:textId="77777777" w:rsidR="00C7758C" w:rsidRPr="00C7758C" w:rsidRDefault="00C7758C" w:rsidP="00C7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14:paraId="7F242B21" w14:textId="77777777" w:rsidR="00103E50" w:rsidRPr="0019798D" w:rsidRDefault="00103E50" w:rsidP="0019798D"/>
    <w:sectPr w:rsidR="00103E50" w:rsidRPr="0019798D" w:rsidSect="00B31269">
      <w:headerReference w:type="default" r:id="rId6"/>
      <w:pgSz w:w="16838" w:h="11906" w:orient="landscape"/>
      <w:pgMar w:top="851" w:right="680" w:bottom="1701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1641" w14:textId="77777777" w:rsidR="004C7FEF" w:rsidRDefault="004C7FEF" w:rsidP="004C7FEF">
      <w:pPr>
        <w:spacing w:after="0" w:line="240" w:lineRule="auto"/>
      </w:pPr>
      <w:r>
        <w:separator/>
      </w:r>
    </w:p>
  </w:endnote>
  <w:endnote w:type="continuationSeparator" w:id="0">
    <w:p w14:paraId="04775E39" w14:textId="77777777" w:rsidR="004C7FEF" w:rsidRDefault="004C7FEF" w:rsidP="004C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BB23" w14:textId="77777777" w:rsidR="004C7FEF" w:rsidRDefault="004C7FEF" w:rsidP="004C7FEF">
      <w:pPr>
        <w:spacing w:after="0" w:line="240" w:lineRule="auto"/>
      </w:pPr>
      <w:r>
        <w:separator/>
      </w:r>
    </w:p>
  </w:footnote>
  <w:footnote w:type="continuationSeparator" w:id="0">
    <w:p w14:paraId="51CAC9D1" w14:textId="77777777" w:rsidR="004C7FEF" w:rsidRDefault="004C7FEF" w:rsidP="004C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E27B" w14:textId="6DD91F3F" w:rsidR="004C7FEF" w:rsidRDefault="004C7FEF" w:rsidP="004C7FEF">
    <w:pPr>
      <w:pStyle w:val="Pis"/>
      <w:jc w:val="right"/>
    </w:pPr>
    <w:r>
      <w:t>LISA 1</w:t>
    </w:r>
  </w:p>
  <w:p w14:paraId="3D909B83" w14:textId="5051724F" w:rsidR="004C7FEF" w:rsidRDefault="004C7FEF" w:rsidP="004C7FEF">
    <w:pPr>
      <w:pStyle w:val="Pis"/>
      <w:jc w:val="right"/>
    </w:pPr>
    <w:r>
      <w:t>Mulgi Vallavalitsuse</w:t>
    </w:r>
  </w:p>
  <w:p w14:paraId="5F9B2E05" w14:textId="160DC5DD" w:rsidR="004C7FEF" w:rsidRDefault="004C7FEF" w:rsidP="004C7FEF">
    <w:pPr>
      <w:pStyle w:val="Pis"/>
      <w:jc w:val="right"/>
    </w:pPr>
    <w:r>
      <w:t>13.12.2022. a</w:t>
    </w:r>
  </w:p>
  <w:p w14:paraId="296C751F" w14:textId="542437A1" w:rsidR="004C7FEF" w:rsidRDefault="004C7FEF" w:rsidP="004C7FEF">
    <w:pPr>
      <w:pStyle w:val="Pis"/>
      <w:jc w:val="right"/>
    </w:pPr>
    <w:r>
      <w:t>Korraldusele nr</w:t>
    </w:r>
    <w:r w:rsidR="008B33EC">
      <w:t xml:space="preserve"> 1087</w:t>
    </w:r>
  </w:p>
  <w:p w14:paraId="769472BA" w14:textId="77777777" w:rsidR="00B31269" w:rsidRDefault="00B31269" w:rsidP="004C7FEF">
    <w:pPr>
      <w:pStyle w:val="Pi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37"/>
    <w:rsid w:val="00103E50"/>
    <w:rsid w:val="0019798D"/>
    <w:rsid w:val="002629FF"/>
    <w:rsid w:val="00293537"/>
    <w:rsid w:val="004A245F"/>
    <w:rsid w:val="004C7FEF"/>
    <w:rsid w:val="004D5A5A"/>
    <w:rsid w:val="00707AD2"/>
    <w:rsid w:val="008B33EC"/>
    <w:rsid w:val="00AA3417"/>
    <w:rsid w:val="00B31269"/>
    <w:rsid w:val="00C7758C"/>
    <w:rsid w:val="00F64856"/>
    <w:rsid w:val="00F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0857"/>
  <w15:chartTrackingRefBased/>
  <w15:docId w15:val="{F06201BB-ECE5-4B03-AFC9-945A6A0D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C7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C7FEF"/>
  </w:style>
  <w:style w:type="paragraph" w:styleId="Jalus">
    <w:name w:val="footer"/>
    <w:basedOn w:val="Normaallaad"/>
    <w:link w:val="JalusMrk"/>
    <w:uiPriority w:val="99"/>
    <w:unhideWhenUsed/>
    <w:rsid w:val="004C7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C7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534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Liivak</dc:creator>
  <cp:keywords/>
  <dc:description/>
  <cp:lastModifiedBy>Milja Janson</cp:lastModifiedBy>
  <cp:revision>11</cp:revision>
  <cp:lastPrinted>2022-12-13T06:24:00Z</cp:lastPrinted>
  <dcterms:created xsi:type="dcterms:W3CDTF">2022-12-12T09:38:00Z</dcterms:created>
  <dcterms:modified xsi:type="dcterms:W3CDTF">2022-12-14T11:21:00Z</dcterms:modified>
</cp:coreProperties>
</file>